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A8" w:rsidRPr="008C2DA8" w:rsidRDefault="008C2DA8" w:rsidP="008C2DA8">
      <w:pPr>
        <w:pStyle w:val="Default"/>
        <w:spacing w:line="360" w:lineRule="auto"/>
        <w:jc w:val="right"/>
        <w:rPr>
          <w:rFonts w:asciiTheme="minorHAnsi" w:hAnsiTheme="minorHAnsi"/>
          <w:sz w:val="22"/>
          <w:szCs w:val="22"/>
        </w:rPr>
      </w:pPr>
      <w:r w:rsidRPr="008C2DA8">
        <w:rPr>
          <w:rFonts w:asciiTheme="minorHAnsi" w:hAnsiTheme="minorHAnsi"/>
          <w:sz w:val="22"/>
          <w:szCs w:val="22"/>
        </w:rPr>
        <w:t xml:space="preserve">Olsztyn, dn. </w:t>
      </w:r>
      <w:r>
        <w:rPr>
          <w:rFonts w:asciiTheme="minorHAnsi" w:hAnsiTheme="minorHAnsi"/>
          <w:sz w:val="22"/>
          <w:szCs w:val="22"/>
        </w:rPr>
        <w:t>7</w:t>
      </w:r>
      <w:r w:rsidRPr="008C2DA8">
        <w:rPr>
          <w:rFonts w:asciiTheme="minorHAnsi" w:hAnsiTheme="minorHAnsi"/>
          <w:sz w:val="22"/>
          <w:szCs w:val="22"/>
        </w:rPr>
        <w:t>.0</w:t>
      </w:r>
      <w:r>
        <w:rPr>
          <w:rFonts w:asciiTheme="minorHAnsi" w:hAnsiTheme="minorHAnsi"/>
          <w:sz w:val="22"/>
          <w:szCs w:val="22"/>
        </w:rPr>
        <w:t>4</w:t>
      </w:r>
      <w:r w:rsidRPr="008C2DA8">
        <w:rPr>
          <w:rFonts w:asciiTheme="minorHAnsi" w:hAnsiTheme="minorHAnsi"/>
          <w:sz w:val="22"/>
          <w:szCs w:val="22"/>
        </w:rPr>
        <w:t>.2016 r.</w:t>
      </w:r>
    </w:p>
    <w:p w:rsidR="008C2DA8" w:rsidRPr="008C2DA8" w:rsidRDefault="008C2DA8" w:rsidP="008C2DA8">
      <w:pPr>
        <w:pStyle w:val="CM30"/>
        <w:spacing w:after="0"/>
        <w:rPr>
          <w:rFonts w:asciiTheme="minorHAnsi" w:hAnsiTheme="minorHAnsi"/>
          <w:color w:val="000000"/>
          <w:sz w:val="22"/>
          <w:szCs w:val="22"/>
        </w:rPr>
      </w:pPr>
      <w:r w:rsidRPr="008C2DA8">
        <w:rPr>
          <w:rFonts w:asciiTheme="minorHAnsi" w:hAnsiTheme="minorHAnsi"/>
          <w:noProof/>
          <w:color w:val="000000"/>
          <w:sz w:val="22"/>
          <w:szCs w:val="22"/>
          <w:lang w:eastAsia="pl-PL"/>
        </w:rPr>
        <w:drawing>
          <wp:anchor distT="0" distB="0" distL="114300" distR="114300" simplePos="0" relativeHeight="251659264" behindDoc="1" locked="0" layoutInCell="1" allowOverlap="1">
            <wp:simplePos x="0" y="0"/>
            <wp:positionH relativeFrom="column">
              <wp:posOffset>17217</wp:posOffset>
            </wp:positionH>
            <wp:positionV relativeFrom="paragraph">
              <wp:posOffset>-2780</wp:posOffset>
            </wp:positionV>
            <wp:extent cx="386391" cy="646982"/>
            <wp:effectExtent l="19050" t="0" r="0" b="0"/>
            <wp:wrapTight wrapText="bothSides">
              <wp:wrapPolygon edited="0">
                <wp:start x="-1057" y="0"/>
                <wp:lineTo x="-1057" y="21006"/>
                <wp:lineTo x="21142" y="21006"/>
                <wp:lineTo x="21142" y="0"/>
                <wp:lineTo x="-1057" y="0"/>
              </wp:wrapPolygon>
            </wp:wrapTight>
            <wp:docPr id="1" name="Obraz 0" descr="F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 logo.jpg"/>
                    <pic:cNvPicPr/>
                  </pic:nvPicPr>
                  <pic:blipFill>
                    <a:blip r:embed="rId7" cstate="print"/>
                    <a:stretch>
                      <a:fillRect/>
                    </a:stretch>
                  </pic:blipFill>
                  <pic:spPr>
                    <a:xfrm>
                      <a:off x="0" y="0"/>
                      <a:ext cx="389255" cy="646430"/>
                    </a:xfrm>
                    <a:prstGeom prst="rect">
                      <a:avLst/>
                    </a:prstGeom>
                  </pic:spPr>
                </pic:pic>
              </a:graphicData>
            </a:graphic>
          </wp:anchor>
        </w:drawing>
      </w:r>
      <w:r w:rsidRPr="008C2DA8">
        <w:rPr>
          <w:rFonts w:asciiTheme="minorHAnsi" w:hAnsiTheme="minorHAnsi"/>
          <w:color w:val="000000"/>
          <w:sz w:val="22"/>
          <w:szCs w:val="22"/>
        </w:rPr>
        <w:t>Stowarzyszenie Forum Rozwoju Olsztyna</w:t>
      </w:r>
      <w:r w:rsidRPr="008C2DA8">
        <w:rPr>
          <w:rFonts w:asciiTheme="minorHAnsi" w:hAnsiTheme="minorHAnsi"/>
          <w:color w:val="000000"/>
          <w:sz w:val="22"/>
          <w:szCs w:val="22"/>
        </w:rPr>
        <w:br/>
        <w:t xml:space="preserve">ul. Osińskiego 7/9   </w:t>
      </w:r>
    </w:p>
    <w:p w:rsidR="008C2DA8" w:rsidRPr="008C2DA8" w:rsidRDefault="008C2DA8" w:rsidP="008C2DA8">
      <w:pPr>
        <w:pStyle w:val="CM30"/>
        <w:spacing w:after="0"/>
        <w:rPr>
          <w:rFonts w:asciiTheme="minorHAnsi" w:hAnsiTheme="minorHAnsi"/>
          <w:color w:val="000000"/>
          <w:sz w:val="22"/>
          <w:szCs w:val="22"/>
        </w:rPr>
      </w:pPr>
      <w:r w:rsidRPr="008C2DA8">
        <w:rPr>
          <w:rFonts w:asciiTheme="minorHAnsi" w:hAnsiTheme="minorHAnsi"/>
          <w:color w:val="000000"/>
          <w:sz w:val="22"/>
          <w:szCs w:val="22"/>
        </w:rPr>
        <w:t>10-010 Olsztyn</w:t>
      </w:r>
    </w:p>
    <w:p w:rsidR="008C2DA8" w:rsidRPr="008C2DA8" w:rsidRDefault="008C2DA8" w:rsidP="008C2DA8">
      <w:pPr>
        <w:pStyle w:val="CM30"/>
        <w:spacing w:after="0"/>
        <w:rPr>
          <w:rFonts w:asciiTheme="minorHAnsi" w:hAnsiTheme="minorHAnsi"/>
          <w:color w:val="000000"/>
          <w:sz w:val="22"/>
          <w:szCs w:val="22"/>
        </w:rPr>
      </w:pPr>
      <w:r w:rsidRPr="008C2DA8">
        <w:rPr>
          <w:rFonts w:asciiTheme="minorHAnsi" w:hAnsiTheme="minorHAnsi"/>
          <w:color w:val="000000"/>
          <w:sz w:val="22"/>
          <w:szCs w:val="22"/>
        </w:rPr>
        <w:t>fro@fro.olsztyn.pl</w:t>
      </w:r>
    </w:p>
    <w:p w:rsidR="008C2DA8" w:rsidRPr="008C2DA8" w:rsidRDefault="008C2DA8" w:rsidP="008C2DA8">
      <w:pPr>
        <w:pStyle w:val="Default"/>
        <w:rPr>
          <w:rFonts w:asciiTheme="minorHAnsi" w:hAnsiTheme="minorHAnsi"/>
          <w:sz w:val="22"/>
          <w:szCs w:val="22"/>
        </w:rPr>
      </w:pPr>
    </w:p>
    <w:p w:rsidR="008C2DA8" w:rsidRDefault="008C2DA8" w:rsidP="008C2DA8">
      <w:pPr>
        <w:pStyle w:val="Default"/>
        <w:rPr>
          <w:rFonts w:asciiTheme="minorHAnsi" w:hAnsiTheme="minorHAnsi"/>
          <w:sz w:val="22"/>
          <w:szCs w:val="22"/>
        </w:rPr>
      </w:pPr>
    </w:p>
    <w:p w:rsidR="008C2DA8" w:rsidRDefault="008C2DA8" w:rsidP="008C2DA8">
      <w:pPr>
        <w:pStyle w:val="Default"/>
        <w:rPr>
          <w:rFonts w:asciiTheme="minorHAnsi" w:hAnsiTheme="minorHAnsi"/>
          <w:sz w:val="22"/>
          <w:szCs w:val="22"/>
        </w:rPr>
      </w:pPr>
    </w:p>
    <w:p w:rsidR="008C2DA8" w:rsidRPr="008C2DA8" w:rsidRDefault="008C2DA8" w:rsidP="008C2DA8">
      <w:pPr>
        <w:pStyle w:val="Default"/>
        <w:rPr>
          <w:rFonts w:asciiTheme="minorHAnsi" w:hAnsiTheme="minorHAnsi"/>
          <w:sz w:val="22"/>
          <w:szCs w:val="22"/>
        </w:rPr>
      </w:pPr>
    </w:p>
    <w:p w:rsidR="008C2DA8" w:rsidRPr="008C2DA8" w:rsidRDefault="008C2DA8" w:rsidP="008C2DA8">
      <w:pPr>
        <w:pStyle w:val="CM20"/>
        <w:spacing w:line="240" w:lineRule="auto"/>
        <w:ind w:left="4248"/>
        <w:rPr>
          <w:rFonts w:asciiTheme="minorHAnsi" w:hAnsiTheme="minorHAnsi"/>
          <w:b/>
          <w:sz w:val="22"/>
          <w:szCs w:val="22"/>
        </w:rPr>
      </w:pPr>
      <w:r w:rsidRPr="008C2DA8">
        <w:rPr>
          <w:rFonts w:asciiTheme="minorHAnsi" w:hAnsiTheme="minorHAnsi"/>
          <w:b/>
          <w:sz w:val="22"/>
          <w:szCs w:val="22"/>
        </w:rPr>
        <w:t>Miejskie Przedsiębiorstwo Energetyki Cieplnej</w:t>
      </w:r>
    </w:p>
    <w:p w:rsidR="008C2DA8" w:rsidRPr="008C2DA8" w:rsidRDefault="008C2DA8" w:rsidP="008C2DA8">
      <w:pPr>
        <w:pStyle w:val="CM20"/>
        <w:spacing w:line="240" w:lineRule="auto"/>
        <w:ind w:left="3540" w:firstLine="708"/>
        <w:rPr>
          <w:rFonts w:asciiTheme="minorHAnsi" w:hAnsiTheme="minorHAnsi"/>
          <w:b/>
          <w:sz w:val="22"/>
          <w:szCs w:val="22"/>
        </w:rPr>
      </w:pPr>
      <w:r w:rsidRPr="008C2DA8">
        <w:rPr>
          <w:rFonts w:asciiTheme="minorHAnsi" w:hAnsiTheme="minorHAnsi"/>
          <w:b/>
          <w:sz w:val="22"/>
          <w:szCs w:val="22"/>
        </w:rPr>
        <w:t xml:space="preserve">Spółka z o.o. w Olsztynie </w:t>
      </w:r>
    </w:p>
    <w:p w:rsidR="008C2DA8" w:rsidRPr="008C2DA8" w:rsidRDefault="008C2DA8" w:rsidP="008C2DA8">
      <w:pPr>
        <w:pStyle w:val="CM20"/>
        <w:spacing w:line="240" w:lineRule="auto"/>
        <w:ind w:left="3540" w:firstLine="708"/>
        <w:rPr>
          <w:rFonts w:asciiTheme="minorHAnsi" w:hAnsiTheme="minorHAnsi"/>
          <w:b/>
          <w:sz w:val="22"/>
          <w:szCs w:val="22"/>
        </w:rPr>
      </w:pPr>
      <w:r w:rsidRPr="008C2DA8">
        <w:rPr>
          <w:rFonts w:asciiTheme="minorHAnsi" w:hAnsiTheme="minorHAnsi"/>
          <w:b/>
          <w:sz w:val="22"/>
          <w:szCs w:val="22"/>
        </w:rPr>
        <w:t xml:space="preserve">ul. Słoneczna 46 </w:t>
      </w:r>
    </w:p>
    <w:p w:rsidR="008C2DA8" w:rsidRPr="008C2DA8" w:rsidRDefault="008C2DA8" w:rsidP="008C2DA8">
      <w:pPr>
        <w:pStyle w:val="Default"/>
        <w:ind w:left="4248"/>
        <w:rPr>
          <w:rFonts w:asciiTheme="minorHAnsi" w:hAnsiTheme="minorHAnsi"/>
          <w:b/>
          <w:bCs/>
          <w:sz w:val="22"/>
          <w:szCs w:val="22"/>
        </w:rPr>
      </w:pPr>
      <w:r w:rsidRPr="008C2DA8">
        <w:rPr>
          <w:rFonts w:asciiTheme="minorHAnsi" w:hAnsiTheme="minorHAnsi"/>
          <w:b/>
          <w:sz w:val="22"/>
          <w:szCs w:val="22"/>
        </w:rPr>
        <w:t>10-710 Olsztyn</w:t>
      </w:r>
    </w:p>
    <w:p w:rsidR="008C2DA8" w:rsidRDefault="008C2DA8" w:rsidP="00056ABC">
      <w:pPr>
        <w:spacing w:afterLines="40" w:line="360" w:lineRule="auto"/>
        <w:jc w:val="both"/>
        <w:rPr>
          <w:rFonts w:cs="Times New Roman"/>
        </w:rPr>
      </w:pPr>
    </w:p>
    <w:p w:rsidR="008C2DA8" w:rsidRPr="008C2DA8" w:rsidRDefault="008C2DA8" w:rsidP="00056ABC">
      <w:pPr>
        <w:spacing w:afterLines="40" w:line="360" w:lineRule="auto"/>
        <w:jc w:val="both"/>
        <w:rPr>
          <w:rFonts w:cs="Times New Roman"/>
        </w:rPr>
      </w:pPr>
    </w:p>
    <w:p w:rsidR="00057248" w:rsidRPr="008C2DA8" w:rsidRDefault="00057248" w:rsidP="00056ABC">
      <w:pPr>
        <w:spacing w:afterLines="40" w:line="360" w:lineRule="auto"/>
        <w:ind w:firstLine="708"/>
        <w:jc w:val="both"/>
        <w:rPr>
          <w:rFonts w:cs="Times New Roman"/>
        </w:rPr>
      </w:pPr>
      <w:r w:rsidRPr="008C2DA8">
        <w:rPr>
          <w:rFonts w:cs="Times New Roman"/>
        </w:rPr>
        <w:t>Szanowni Państwo,</w:t>
      </w:r>
    </w:p>
    <w:p w:rsidR="00057248" w:rsidRPr="008C2DA8" w:rsidRDefault="00057248" w:rsidP="00056ABC">
      <w:pPr>
        <w:spacing w:afterLines="40" w:line="360" w:lineRule="auto"/>
        <w:ind w:firstLine="708"/>
        <w:jc w:val="both"/>
        <w:rPr>
          <w:rFonts w:cs="Times New Roman"/>
        </w:rPr>
      </w:pPr>
    </w:p>
    <w:p w:rsidR="002D7301" w:rsidRPr="008C2DA8" w:rsidRDefault="004708B5" w:rsidP="00747E77">
      <w:pPr>
        <w:autoSpaceDE w:val="0"/>
        <w:autoSpaceDN w:val="0"/>
        <w:adjustRightInd w:val="0"/>
        <w:spacing w:after="0" w:line="360" w:lineRule="auto"/>
        <w:ind w:firstLine="708"/>
        <w:contextualSpacing/>
        <w:jc w:val="both"/>
        <w:rPr>
          <w:rFonts w:cs="Times New Roman"/>
        </w:rPr>
      </w:pPr>
      <w:r>
        <w:rPr>
          <w:rFonts w:cs="Times New Roman"/>
        </w:rPr>
        <w:t>o</w:t>
      </w:r>
      <w:r w:rsidR="0059333A" w:rsidRPr="008C2DA8">
        <w:rPr>
          <w:rFonts w:cs="Times New Roman"/>
        </w:rPr>
        <w:t xml:space="preserve">dpowiadając na Państwa </w:t>
      </w:r>
      <w:r w:rsidR="002D7301" w:rsidRPr="008C2DA8">
        <w:rPr>
          <w:rFonts w:cs="Times New Roman"/>
        </w:rPr>
        <w:t>pismo z</w:t>
      </w:r>
      <w:r w:rsidR="001B6F2A" w:rsidRPr="008C2DA8">
        <w:rPr>
          <w:rFonts w:cs="Times New Roman"/>
        </w:rPr>
        <w:t xml:space="preserve"> dnia</w:t>
      </w:r>
      <w:r w:rsidR="002D7301" w:rsidRPr="008C2DA8">
        <w:rPr>
          <w:rFonts w:cs="Times New Roman"/>
        </w:rPr>
        <w:t xml:space="preserve"> </w:t>
      </w:r>
      <w:r w:rsidR="0059333A" w:rsidRPr="008C2DA8">
        <w:rPr>
          <w:rFonts w:cs="Times New Roman"/>
        </w:rPr>
        <w:t>31 marca 2016 roku (</w:t>
      </w:r>
      <w:r w:rsidR="00563EB4" w:rsidRPr="008C2DA8">
        <w:rPr>
          <w:rFonts w:cs="Times New Roman"/>
        </w:rPr>
        <w:t xml:space="preserve">nr MPEC/PE/EA/3/54/16) w pierwszej kolejności chcielibyśmy zmodyfikować treść wniosku z dnia 22 marca 2016 roku. Niniejszym wnosimy o udostępnienie zestawienia umów cywilnoprawnych, zawartych przez MPEC od 1 stycznia 2014 roku do 22 marca 2016 roku, których zawarcie </w:t>
      </w:r>
      <w:r w:rsidR="00747E77" w:rsidRPr="008C2DA8">
        <w:rPr>
          <w:rFonts w:cs="Times New Roman"/>
        </w:rPr>
        <w:t>skutkuje poczynieniem</w:t>
      </w:r>
      <w:r w:rsidR="00563EB4" w:rsidRPr="008C2DA8">
        <w:rPr>
          <w:rFonts w:cs="Times New Roman"/>
        </w:rPr>
        <w:t xml:space="preserve"> wydatków </w:t>
      </w:r>
      <w:r w:rsidR="00056ABC">
        <w:rPr>
          <w:rFonts w:cs="Times New Roman"/>
        </w:rPr>
        <w:t xml:space="preserve">po stronie MPEC </w:t>
      </w:r>
      <w:r>
        <w:rPr>
          <w:rFonts w:cs="Times New Roman"/>
        </w:rPr>
        <w:t xml:space="preserve">w </w:t>
      </w:r>
      <w:r w:rsidR="003D4271" w:rsidRPr="008C2DA8">
        <w:rPr>
          <w:rFonts w:cs="Times New Roman"/>
        </w:rPr>
        <w:t>wys.</w:t>
      </w:r>
      <w:r w:rsidR="00563EB4" w:rsidRPr="008C2DA8">
        <w:rPr>
          <w:rFonts w:cs="Times New Roman"/>
        </w:rPr>
        <w:t xml:space="preserve"> 500 zł brutto lub wyższych. Zestawienie powinno</w:t>
      </w:r>
      <w:r w:rsidR="00B87807" w:rsidRPr="008C2DA8">
        <w:rPr>
          <w:rFonts w:cs="Times New Roman"/>
        </w:rPr>
        <w:t xml:space="preserve"> być udostępnione w formie arkusza kalkulacyjnego (np. plik </w:t>
      </w:r>
      <w:proofErr w:type="spellStart"/>
      <w:r w:rsidR="00B87807" w:rsidRPr="008C2DA8">
        <w:rPr>
          <w:rFonts w:cs="Times New Roman"/>
        </w:rPr>
        <w:t>xls</w:t>
      </w:r>
      <w:proofErr w:type="spellEnd"/>
      <w:r w:rsidR="00B87807" w:rsidRPr="008C2DA8">
        <w:rPr>
          <w:rFonts w:cs="Times New Roman"/>
        </w:rPr>
        <w:t>)</w:t>
      </w:r>
      <w:r w:rsidR="00563EB4" w:rsidRPr="008C2DA8">
        <w:rPr>
          <w:rFonts w:cs="Times New Roman"/>
        </w:rPr>
        <w:t xml:space="preserve"> </w:t>
      </w:r>
      <w:r w:rsidR="00B87807" w:rsidRPr="008C2DA8">
        <w:rPr>
          <w:rFonts w:cs="Times New Roman"/>
        </w:rPr>
        <w:t xml:space="preserve">i </w:t>
      </w:r>
      <w:r w:rsidR="00563EB4" w:rsidRPr="008C2DA8">
        <w:rPr>
          <w:rFonts w:cs="Times New Roman"/>
        </w:rPr>
        <w:t>uwzględniać informacje określone we wniosku z dnia 22 marca czyli: datę zawarcia umowy; numer umowy (w przypadku braku standardowej umowy pisemnej - numer faktury bądź innego dokumentu potwierdzającego zawarcie umowy); przedmiot umowy; wartość umowy; nazwę podmiotu, z którym zawarto umowę (w przypadku kontrahentów będących osobami fizycznymi wno</w:t>
      </w:r>
      <w:r>
        <w:rPr>
          <w:rFonts w:cs="Times New Roman"/>
        </w:rPr>
        <w:t>simy</w:t>
      </w:r>
      <w:r w:rsidR="00563EB4" w:rsidRPr="008C2DA8">
        <w:rPr>
          <w:rFonts w:cs="Times New Roman"/>
        </w:rPr>
        <w:t xml:space="preserve"> o udostępnienie pełnych imion i nazwisk). </w:t>
      </w:r>
      <w:r w:rsidR="00057248" w:rsidRPr="008C2DA8">
        <w:rPr>
          <w:rFonts w:cs="Times New Roman"/>
        </w:rPr>
        <w:t xml:space="preserve"> </w:t>
      </w:r>
      <w:r w:rsidR="00563EB4" w:rsidRPr="008C2DA8">
        <w:rPr>
          <w:rFonts w:cs="Times New Roman"/>
        </w:rPr>
        <w:t xml:space="preserve">Jednocześnie informujemy, </w:t>
      </w:r>
      <w:r w:rsidR="00057248" w:rsidRPr="008C2DA8">
        <w:rPr>
          <w:rFonts w:cs="Times New Roman"/>
        </w:rPr>
        <w:t>że naszym zdaniem,</w:t>
      </w:r>
      <w:r w:rsidR="0059333A" w:rsidRPr="008C2DA8">
        <w:rPr>
          <w:rFonts w:cs="Times New Roman"/>
        </w:rPr>
        <w:t xml:space="preserve"> informacja</w:t>
      </w:r>
      <w:r w:rsidR="00057248" w:rsidRPr="008C2DA8">
        <w:rPr>
          <w:rFonts w:cs="Times New Roman"/>
        </w:rPr>
        <w:t>,</w:t>
      </w:r>
      <w:r w:rsidR="0059333A" w:rsidRPr="008C2DA8">
        <w:rPr>
          <w:rFonts w:cs="Times New Roman"/>
        </w:rPr>
        <w:t xml:space="preserve"> o której </w:t>
      </w:r>
      <w:r w:rsidR="00563EB4" w:rsidRPr="008C2DA8">
        <w:rPr>
          <w:rFonts w:cs="Times New Roman"/>
        </w:rPr>
        <w:t>udostępnienie wnosimy</w:t>
      </w:r>
      <w:r w:rsidR="0059333A" w:rsidRPr="008C2DA8">
        <w:rPr>
          <w:rFonts w:cs="Times New Roman"/>
        </w:rPr>
        <w:t xml:space="preserve"> </w:t>
      </w:r>
      <w:r w:rsidR="00796109" w:rsidRPr="008C2DA8">
        <w:rPr>
          <w:rFonts w:cs="Times New Roman"/>
        </w:rPr>
        <w:t>j</w:t>
      </w:r>
      <w:r w:rsidR="0059333A" w:rsidRPr="008C2DA8">
        <w:rPr>
          <w:rFonts w:cs="Times New Roman"/>
        </w:rPr>
        <w:t>est informacją publiczną prostą.</w:t>
      </w:r>
    </w:p>
    <w:p w:rsidR="0002194F" w:rsidRPr="008C2DA8" w:rsidRDefault="00D53394" w:rsidP="00056ABC">
      <w:pPr>
        <w:spacing w:afterLines="40" w:line="360" w:lineRule="auto"/>
        <w:ind w:firstLine="708"/>
        <w:jc w:val="both"/>
        <w:rPr>
          <w:rFonts w:cs="Times New Roman"/>
        </w:rPr>
      </w:pPr>
      <w:r w:rsidRPr="008C2DA8">
        <w:rPr>
          <w:rFonts w:cs="Times New Roman"/>
        </w:rPr>
        <w:t>N</w:t>
      </w:r>
      <w:r w:rsidR="0002194F" w:rsidRPr="008C2DA8">
        <w:rPr>
          <w:rFonts w:cs="Times New Roman"/>
        </w:rPr>
        <w:t xml:space="preserve">ależy zwrócić uwagę, </w:t>
      </w:r>
      <w:r w:rsidR="00057248" w:rsidRPr="008C2DA8">
        <w:rPr>
          <w:rFonts w:cs="Times New Roman"/>
        </w:rPr>
        <w:t>że</w:t>
      </w:r>
      <w:r w:rsidR="0002194F" w:rsidRPr="008C2DA8">
        <w:rPr>
          <w:rFonts w:cs="Times New Roman"/>
        </w:rPr>
        <w:t xml:space="preserve"> czym innym jest przetworzenie informacji, zaś czym innym jej wyszukanie. Ustawodawca nie ustanowił definicji legalnej informacji przetworzonej, tym niemniej można wskazać cechy, które powinna posiadać informacja, aby uznać ją za informację przetworzoną. </w:t>
      </w:r>
    </w:p>
    <w:p w:rsidR="0002194F" w:rsidRPr="008C2DA8" w:rsidRDefault="0002194F" w:rsidP="008C2DA8">
      <w:pPr>
        <w:spacing w:after="0" w:line="360" w:lineRule="auto"/>
        <w:ind w:firstLine="708"/>
        <w:jc w:val="both"/>
        <w:rPr>
          <w:rFonts w:cs="Times New Roman"/>
        </w:rPr>
      </w:pPr>
      <w:r w:rsidRPr="008C2DA8">
        <w:rPr>
          <w:rFonts w:cs="Times New Roman"/>
        </w:rPr>
        <w:t>Przetwarzanie informacji publicznej polega na podjęciu czynności związanych z uogólnianiem lub uszczegółowi</w:t>
      </w:r>
      <w:bookmarkStart w:id="0" w:name="_GoBack"/>
      <w:bookmarkEnd w:id="0"/>
      <w:r w:rsidRPr="008C2DA8">
        <w:rPr>
          <w:rFonts w:cs="Times New Roman"/>
        </w:rPr>
        <w:t>aniem informacji posiadanych przez podmiot zobowiązany do udostępniania informacji publicznych</w:t>
      </w:r>
      <w:r w:rsidR="0059333A" w:rsidRPr="008C2DA8">
        <w:rPr>
          <w:rFonts w:cs="Times New Roman"/>
        </w:rPr>
        <w:t>. Należy</w:t>
      </w:r>
      <w:r w:rsidRPr="008C2DA8">
        <w:rPr>
          <w:rFonts w:cs="Times New Roman"/>
        </w:rPr>
        <w:t xml:space="preserve"> </w:t>
      </w:r>
      <w:r w:rsidR="0059333A" w:rsidRPr="008C2DA8">
        <w:rPr>
          <w:rFonts w:cs="Times New Roman"/>
        </w:rPr>
        <w:t>zauważyć</w:t>
      </w:r>
      <w:r w:rsidRPr="008C2DA8">
        <w:rPr>
          <w:rFonts w:cs="Times New Roman"/>
        </w:rPr>
        <w:t xml:space="preserve">, iż </w:t>
      </w:r>
      <w:r w:rsidR="0059333A" w:rsidRPr="008C2DA8">
        <w:rPr>
          <w:rFonts w:cs="Times New Roman"/>
          <w:i/>
        </w:rPr>
        <w:t>p</w:t>
      </w:r>
      <w:r w:rsidRPr="008C2DA8">
        <w:rPr>
          <w:rFonts w:cs="Times New Roman"/>
          <w:i/>
        </w:rPr>
        <w:t>rzetworzenie jest równoznaczne z koniecznością odpowiedniego zestawienia informacji, samodzielnego ich zredagowania związanego z koniecznością przeprowadzenia przez zobowiązany podmiot czynności analitycznych, których końcowym efektem jest dokument pozwalający na dokonanie przez jednostkę samodzielnej interpretacji i oceny</w:t>
      </w:r>
      <w:r w:rsidRPr="008C2DA8">
        <w:rPr>
          <w:rFonts w:cs="Times New Roman"/>
        </w:rPr>
        <w:t xml:space="preserve"> (I. </w:t>
      </w:r>
      <w:r w:rsidRPr="008C2DA8">
        <w:rPr>
          <w:rFonts w:cs="Times New Roman"/>
        </w:rPr>
        <w:lastRenderedPageBreak/>
        <w:t xml:space="preserve">Kamińska, M. </w:t>
      </w:r>
      <w:proofErr w:type="spellStart"/>
      <w:r w:rsidRPr="008C2DA8">
        <w:rPr>
          <w:rFonts w:cs="Times New Roman"/>
        </w:rPr>
        <w:t>Rozbicka-Ostrowska</w:t>
      </w:r>
      <w:proofErr w:type="spellEnd"/>
      <w:r w:rsidRPr="008C2DA8">
        <w:rPr>
          <w:rFonts w:cs="Times New Roman"/>
        </w:rPr>
        <w:t xml:space="preserve">, </w:t>
      </w:r>
      <w:r w:rsidRPr="008C2DA8">
        <w:rPr>
          <w:rFonts w:cs="Times New Roman"/>
          <w:i/>
        </w:rPr>
        <w:t>Ustawa o dostępie do informacji publicznej. Komentarz</w:t>
      </w:r>
      <w:r w:rsidRPr="008C2DA8">
        <w:rPr>
          <w:rFonts w:cs="Times New Roman"/>
        </w:rPr>
        <w:t>, Warszawa 2012, s. 50; zob. wyrok WSA we Wrocławiu z 19 grudnia 2005 r., IV SAB/</w:t>
      </w:r>
      <w:proofErr w:type="spellStart"/>
      <w:r w:rsidRPr="008C2DA8">
        <w:rPr>
          <w:rFonts w:cs="Times New Roman"/>
        </w:rPr>
        <w:t>Wr</w:t>
      </w:r>
      <w:proofErr w:type="spellEnd"/>
      <w:r w:rsidRPr="008C2DA8">
        <w:rPr>
          <w:rFonts w:cs="Times New Roman"/>
        </w:rPr>
        <w:t xml:space="preserve"> 47/05). Wskazuje się także, że informacją przetworzoną jest informacja, </w:t>
      </w:r>
      <w:r w:rsidRPr="008C2DA8">
        <w:rPr>
          <w:rFonts w:cs="Times New Roman"/>
          <w:i/>
        </w:rPr>
        <w:t xml:space="preserve">która została przygotowana „specjalnie” dla wnioskodawcy wedle wskazanych przez niego kryteriów </w:t>
      </w:r>
      <w:r w:rsidRPr="008C2DA8">
        <w:rPr>
          <w:rFonts w:cs="Times New Roman"/>
        </w:rPr>
        <w:t xml:space="preserve">(M. Bidziński, M. </w:t>
      </w:r>
      <w:proofErr w:type="spellStart"/>
      <w:r w:rsidRPr="008C2DA8">
        <w:rPr>
          <w:rFonts w:cs="Times New Roman"/>
        </w:rPr>
        <w:t>Chmaj</w:t>
      </w:r>
      <w:proofErr w:type="spellEnd"/>
      <w:r w:rsidRPr="008C2DA8">
        <w:rPr>
          <w:rFonts w:cs="Times New Roman"/>
        </w:rPr>
        <w:t xml:space="preserve">, P. Szustakiewicz, </w:t>
      </w:r>
      <w:r w:rsidRPr="008C2DA8">
        <w:rPr>
          <w:rFonts w:cs="Times New Roman"/>
          <w:i/>
        </w:rPr>
        <w:t>Ustawa o dostępie do informacji publicznej. Komentarz</w:t>
      </w:r>
      <w:r w:rsidRPr="008C2DA8">
        <w:rPr>
          <w:rFonts w:cs="Times New Roman"/>
        </w:rPr>
        <w:t xml:space="preserve">, Warszawa 2010, s. 41). </w:t>
      </w:r>
    </w:p>
    <w:p w:rsidR="0002194F" w:rsidRPr="008C2DA8" w:rsidRDefault="0002194F" w:rsidP="008C2DA8">
      <w:pPr>
        <w:spacing w:after="0" w:line="360" w:lineRule="auto"/>
        <w:ind w:firstLine="708"/>
        <w:jc w:val="both"/>
        <w:rPr>
          <w:rFonts w:cs="Times New Roman"/>
        </w:rPr>
      </w:pPr>
      <w:r w:rsidRPr="008C2DA8">
        <w:rPr>
          <w:rFonts w:cs="Times New Roman"/>
        </w:rPr>
        <w:t>Judykatura podnosi także, że do wytworzenia informacji publicznej konieczne jest intelektualne zaangażowanie podmiotu zobowiązanego, celem którego jest wytworzenie informacji objętej wnioskiem (wyrok Naczelnego Sądu Administracyjnego z dnia 5 kwietnia 2013 r., sygn. akt I OSK 89/13).</w:t>
      </w:r>
    </w:p>
    <w:p w:rsidR="0002194F" w:rsidRPr="008C2DA8" w:rsidRDefault="00057248" w:rsidP="008C2DA8">
      <w:pPr>
        <w:spacing w:after="0" w:line="360" w:lineRule="auto"/>
        <w:ind w:firstLine="708"/>
        <w:jc w:val="both"/>
        <w:rPr>
          <w:rFonts w:cs="Times New Roman"/>
        </w:rPr>
      </w:pPr>
      <w:r w:rsidRPr="008C2DA8">
        <w:rPr>
          <w:rFonts w:cs="Times New Roman"/>
        </w:rPr>
        <w:t>Zwracamy uwagę</w:t>
      </w:r>
      <w:r w:rsidR="0002194F" w:rsidRPr="008C2DA8">
        <w:rPr>
          <w:rFonts w:cs="Times New Roman"/>
        </w:rPr>
        <w:t>, iż czynność materialno-techniczna, polegająca na udostępnieniu informacji publicznej, zawsze wiąże się z koniecznością wyszukania danej informacji. Ciężko wyobrazić sobie sytuację, w której podmiot w taki sposób (i w takiej formie) posiada informacje publiczne, aby móc je udostępniać bez konieczności wyszukiwania ich wśród innych informacji, nieobjętych przedmiotem wniosku.</w:t>
      </w:r>
    </w:p>
    <w:p w:rsidR="00B7296E" w:rsidRPr="008C2DA8" w:rsidRDefault="00BC255E" w:rsidP="008C2DA8">
      <w:pPr>
        <w:spacing w:after="0" w:line="360" w:lineRule="auto"/>
        <w:ind w:firstLine="708"/>
        <w:jc w:val="both"/>
        <w:rPr>
          <w:rFonts w:cs="Times New Roman"/>
        </w:rPr>
      </w:pPr>
      <w:r w:rsidRPr="008C2DA8">
        <w:rPr>
          <w:rFonts w:cs="Times New Roman"/>
        </w:rPr>
        <w:t>K</w:t>
      </w:r>
      <w:r w:rsidR="0002194F" w:rsidRPr="008C2DA8">
        <w:rPr>
          <w:rFonts w:cs="Times New Roman"/>
        </w:rPr>
        <w:t xml:space="preserve">ryterium informacji przetworzonej jest to, czy informacja, która powstała wskutek udostępnienia informacji publicznej jest informacją merytorycznie (jakościowo) nową, której wytworzenie wiązało się z dokonaniem intelektualnych czynności analitycznych. Niniejsze stanowisko </w:t>
      </w:r>
      <w:r w:rsidR="0059333A" w:rsidRPr="008C2DA8">
        <w:rPr>
          <w:rFonts w:cs="Times New Roman"/>
        </w:rPr>
        <w:t>tożsame jest z</w:t>
      </w:r>
      <w:r w:rsidR="0002194F" w:rsidRPr="008C2DA8">
        <w:rPr>
          <w:rFonts w:cs="Times New Roman"/>
        </w:rPr>
        <w:t xml:space="preserve"> </w:t>
      </w:r>
      <w:proofErr w:type="spellStart"/>
      <w:r w:rsidR="0002194F" w:rsidRPr="008C2DA8">
        <w:rPr>
          <w:rFonts w:cs="Times New Roman"/>
          <w:i/>
        </w:rPr>
        <w:t>ratio</w:t>
      </w:r>
      <w:proofErr w:type="spellEnd"/>
      <w:r w:rsidR="0002194F" w:rsidRPr="008C2DA8">
        <w:rPr>
          <w:rFonts w:cs="Times New Roman"/>
          <w:i/>
        </w:rPr>
        <w:t xml:space="preserve"> </w:t>
      </w:r>
      <w:proofErr w:type="spellStart"/>
      <w:r w:rsidR="0002194F" w:rsidRPr="008C2DA8">
        <w:rPr>
          <w:rFonts w:cs="Times New Roman"/>
          <w:i/>
        </w:rPr>
        <w:t>legis</w:t>
      </w:r>
      <w:proofErr w:type="spellEnd"/>
      <w:r w:rsidR="00335B32" w:rsidRPr="008C2DA8">
        <w:rPr>
          <w:rFonts w:cs="Times New Roman"/>
          <w:i/>
        </w:rPr>
        <w:t xml:space="preserve"> </w:t>
      </w:r>
      <w:r w:rsidR="00335B32" w:rsidRPr="008C2DA8">
        <w:rPr>
          <w:rFonts w:cs="Times New Roman"/>
        </w:rPr>
        <w:t>ustawy o dostępie do informacji publicznej (</w:t>
      </w:r>
      <w:r w:rsidR="000D5B5E" w:rsidRPr="008C2DA8">
        <w:rPr>
          <w:rFonts w:cs="Times New Roman"/>
        </w:rPr>
        <w:t>UDIP</w:t>
      </w:r>
      <w:r w:rsidR="00335B32" w:rsidRPr="008C2DA8">
        <w:rPr>
          <w:rFonts w:cs="Times New Roman"/>
        </w:rPr>
        <w:t>)</w:t>
      </w:r>
      <w:r w:rsidR="000D5B5E" w:rsidRPr="008C2DA8">
        <w:rPr>
          <w:rFonts w:cs="Times New Roman"/>
        </w:rPr>
        <w:t>,</w:t>
      </w:r>
      <w:r w:rsidR="001B6F2A" w:rsidRPr="008C2DA8">
        <w:rPr>
          <w:rFonts w:cs="Times New Roman"/>
        </w:rPr>
        <w:t xml:space="preserve"> zrekonstruowanego</w:t>
      </w:r>
      <w:r w:rsidR="0002194F" w:rsidRPr="008C2DA8">
        <w:rPr>
          <w:rFonts w:cs="Times New Roman"/>
        </w:rPr>
        <w:t xml:space="preserve"> na podstawie przebiegu prac nad projektem </w:t>
      </w:r>
      <w:r w:rsidR="000D5B5E" w:rsidRPr="008C2DA8">
        <w:rPr>
          <w:rFonts w:cs="Times New Roman"/>
        </w:rPr>
        <w:t>UDIP</w:t>
      </w:r>
      <w:r w:rsidR="0002194F" w:rsidRPr="008C2DA8">
        <w:rPr>
          <w:rFonts w:cs="Times New Roman"/>
        </w:rPr>
        <w:t xml:space="preserve">. W uzasadnieniu poselskiego projektu ustawy odniesiono się do kwestii informacji publicznej przetworzonej w następujący sposób: </w:t>
      </w:r>
      <w:r w:rsidR="0059333A" w:rsidRPr="008C2DA8">
        <w:rPr>
          <w:rFonts w:cs="Times New Roman"/>
        </w:rPr>
        <w:t>o</w:t>
      </w:r>
      <w:r w:rsidR="0002194F" w:rsidRPr="008C2DA8">
        <w:rPr>
          <w:rFonts w:cs="Times New Roman"/>
          <w:i/>
        </w:rPr>
        <w:t>drębnie zapisane prawo do uzyskania informacji przetworzonej, a więc w postaci zagregowanej, syntetycznej lub analitycznej w takim zakresie w jakim jest to istotne dla ogółu obywateli, czyli w postaci umożliwiającej ocenę i wnioskowanie</w:t>
      </w:r>
      <w:r w:rsidR="0002194F" w:rsidRPr="008C2DA8">
        <w:rPr>
          <w:rFonts w:cs="Times New Roman"/>
        </w:rPr>
        <w:t xml:space="preserve"> (str. 18 druku sejmowego nr 2094, data wpływu: 5 lipca 2000 r.). Dokonując analizy owego fragmentu uzasadnienia projektu </w:t>
      </w:r>
      <w:r w:rsidR="0072251B" w:rsidRPr="008C2DA8">
        <w:rPr>
          <w:rFonts w:cs="Times New Roman"/>
        </w:rPr>
        <w:t>ustawy o dostępie do informacji publicznej</w:t>
      </w:r>
      <w:r w:rsidR="001B6F2A" w:rsidRPr="008C2DA8">
        <w:rPr>
          <w:rFonts w:cs="Times New Roman"/>
        </w:rPr>
        <w:t>,</w:t>
      </w:r>
      <w:r w:rsidR="0002194F" w:rsidRPr="008C2DA8">
        <w:rPr>
          <w:rFonts w:cs="Times New Roman"/>
        </w:rPr>
        <w:t xml:space="preserve"> dostrzec można, że intencją ustawodawców nie było wyodrębnianie informacji przetworzonej na podstawie pracochłonności i kosztowności jej udostępnienia, zaś wytworzenie nowej informacji publicznej wskutek prac analitycznych, intelektualnych. Sprowadzało się to do p</w:t>
      </w:r>
      <w:r w:rsidR="00335B32" w:rsidRPr="008C2DA8">
        <w:rPr>
          <w:rFonts w:cs="Times New Roman"/>
        </w:rPr>
        <w:t>rzedłożenia interesu prywatnego</w:t>
      </w:r>
      <w:r w:rsidR="0002194F" w:rsidRPr="008C2DA8">
        <w:rPr>
          <w:rFonts w:cs="Times New Roman"/>
        </w:rPr>
        <w:t xml:space="preserve"> nad interes publiczny (zob. T. R. Aleksandrowicz, </w:t>
      </w:r>
      <w:r w:rsidR="0002194F" w:rsidRPr="008C2DA8">
        <w:rPr>
          <w:rFonts w:cs="Times New Roman"/>
          <w:i/>
        </w:rPr>
        <w:t xml:space="preserve">Komentarz do ustawy o dostępie do informacji publicznej, </w:t>
      </w:r>
      <w:r w:rsidR="0002194F" w:rsidRPr="008C2DA8">
        <w:rPr>
          <w:rFonts w:cs="Times New Roman"/>
        </w:rPr>
        <w:t xml:space="preserve">Warszawa 2006, s. 126), czego wyrazem jest przesłanka „szczególnej istotności dla interesu publicznego”, o której stanowi art. 3 ust. 1 pkt 1 </w:t>
      </w:r>
      <w:r w:rsidR="0002194F" w:rsidRPr="008C2DA8">
        <w:rPr>
          <w:rFonts w:cs="Times New Roman"/>
          <w:i/>
        </w:rPr>
        <w:t xml:space="preserve">in fine </w:t>
      </w:r>
      <w:r w:rsidR="000D5B5E" w:rsidRPr="008C2DA8">
        <w:rPr>
          <w:rFonts w:cs="Times New Roman"/>
        </w:rPr>
        <w:t>UDIP.</w:t>
      </w:r>
      <w:r w:rsidR="00335B32" w:rsidRPr="008C2DA8">
        <w:rPr>
          <w:rFonts w:cs="Times New Roman"/>
        </w:rPr>
        <w:t xml:space="preserve"> </w:t>
      </w:r>
    </w:p>
    <w:p w:rsidR="00D53394" w:rsidRPr="008C2DA8" w:rsidRDefault="00335B32" w:rsidP="008C2DA8">
      <w:pPr>
        <w:spacing w:after="0" w:line="360" w:lineRule="auto"/>
        <w:ind w:firstLine="708"/>
        <w:jc w:val="both"/>
        <w:rPr>
          <w:rFonts w:cs="Times New Roman"/>
        </w:rPr>
      </w:pPr>
      <w:r w:rsidRPr="008C2DA8">
        <w:rPr>
          <w:rFonts w:cs="Times New Roman"/>
        </w:rPr>
        <w:t>Udostępnienie informacji o zawartych umowach wiąże się wyłącznie z wyszukaniem informacji i ich udostępnieniem. W żadnym wypadku nie powstaje nowa jakościowo (analitycznie) informacja.</w:t>
      </w:r>
    </w:p>
    <w:p w:rsidR="001C3E7A" w:rsidRPr="008C2DA8" w:rsidRDefault="001C3E7A" w:rsidP="008C2DA8">
      <w:pPr>
        <w:spacing w:after="0" w:line="360" w:lineRule="auto"/>
        <w:ind w:firstLine="708"/>
        <w:jc w:val="both"/>
        <w:rPr>
          <w:rFonts w:cs="Times New Roman"/>
        </w:rPr>
      </w:pPr>
      <w:r w:rsidRPr="008C2DA8">
        <w:rPr>
          <w:rFonts w:cs="Times New Roman"/>
        </w:rPr>
        <w:t xml:space="preserve">Nawet jeśli by przyjąć, że informacja, o której </w:t>
      </w:r>
      <w:r w:rsidR="00FC7C6F" w:rsidRPr="008C2DA8">
        <w:rPr>
          <w:rFonts w:cs="Times New Roman"/>
        </w:rPr>
        <w:t xml:space="preserve">udostępnienie </w:t>
      </w:r>
      <w:r w:rsidR="00057248" w:rsidRPr="008C2DA8">
        <w:rPr>
          <w:rFonts w:cs="Times New Roman"/>
        </w:rPr>
        <w:t>wn</w:t>
      </w:r>
      <w:r w:rsidR="00FC7C6F" w:rsidRPr="008C2DA8">
        <w:rPr>
          <w:rFonts w:cs="Times New Roman"/>
        </w:rPr>
        <w:t>osi</w:t>
      </w:r>
      <w:r w:rsidRPr="008C2DA8">
        <w:rPr>
          <w:rFonts w:cs="Times New Roman"/>
        </w:rPr>
        <w:t xml:space="preserve"> Forum Rozwoju Olsztyna, jest informacją przetworzoną, to z całą pewnością istnieje szczególny interes </w:t>
      </w:r>
      <w:r w:rsidR="00B87807" w:rsidRPr="008C2DA8">
        <w:rPr>
          <w:rFonts w:cs="Times New Roman"/>
        </w:rPr>
        <w:t>publiczny, który</w:t>
      </w:r>
      <w:r w:rsidRPr="008C2DA8">
        <w:rPr>
          <w:rFonts w:cs="Times New Roman"/>
        </w:rPr>
        <w:t xml:space="preserve"> </w:t>
      </w:r>
      <w:r w:rsidRPr="008C2DA8">
        <w:rPr>
          <w:rFonts w:cs="Times New Roman"/>
        </w:rPr>
        <w:lastRenderedPageBreak/>
        <w:t xml:space="preserve">uzasadnia udostępnienie takiej informacji naszemu stowarzyszeniu. Zestawienie umów cywilnoprawnych pozwala określić, w jaki sposób dany podmiot, w tym wypadku MPEC, dysponuje środkami publicznymi i czy robi to prawidłowo. </w:t>
      </w:r>
      <w:r w:rsidR="00AB4772" w:rsidRPr="008C2DA8">
        <w:rPr>
          <w:rFonts w:cs="Times New Roman"/>
        </w:rPr>
        <w:t xml:space="preserve">Naszym zdaniem, rejestr umów, </w:t>
      </w:r>
      <w:r w:rsidR="00FC7C6F" w:rsidRPr="008C2DA8">
        <w:rPr>
          <w:rFonts w:cs="Times New Roman"/>
        </w:rPr>
        <w:t>umożliwiający łatwe zapoznanie</w:t>
      </w:r>
      <w:r w:rsidR="00AB4772" w:rsidRPr="008C2DA8">
        <w:rPr>
          <w:rFonts w:cs="Times New Roman"/>
        </w:rPr>
        <w:t xml:space="preserve"> się z danymi dotyczącymi wydatków oraz polityki gospodarowania mieniem publicznym jednostek samorządu terytorialnego czy spółek komunalnych jest </w:t>
      </w:r>
      <w:r w:rsidR="00F60BA6" w:rsidRPr="008C2DA8">
        <w:rPr>
          <w:rFonts w:cs="Times New Roman"/>
        </w:rPr>
        <w:t>jednym z podstawowych narzędzi</w:t>
      </w:r>
      <w:r w:rsidR="00AB4772" w:rsidRPr="008C2DA8">
        <w:rPr>
          <w:rFonts w:cs="Times New Roman"/>
        </w:rPr>
        <w:t xml:space="preserve"> dającym wszystkim obywatelom szansę kontrolowania działalności administracji publicznej </w:t>
      </w:r>
      <w:r w:rsidR="00FD40D4" w:rsidRPr="008C2DA8">
        <w:rPr>
          <w:rFonts w:cs="Times New Roman"/>
        </w:rPr>
        <w:t xml:space="preserve">z punktu widzenia legalności, gospodarności i rzetelności. Jednocześnie chcielibyśmy zauważyć, że informacja, o którą wnioskujemy będzie dostępna na stronach internetowych Forum Rozwoju Olsztyna, dzięki czemu mieszkańcy będą w stanie się z nią bez problemu zapoznać. Ponadto, nasze działania związane ze złożeniem wniosków o udostępnienie zestawień umów (tożsame wnioski złożyliśmy również w Urzędzie Miasta Olsztyna oraz Zarządzie Dróg, Zieleni i Transportu w Olsztynie) były szeroko komentowane w lokalnych mediach i jesteśmy przekonani, że zainteresowanie to będzie odczuwalne również po udostępnienie żądanych przez nas informacji. Forum Rozwoju Olsztyna, którego jednym ze statutowych celów jest działalność na rzecz przejrzystości w administracji publicznej, zamierza jak najszerzej informować o możliwości zapoznania się zestawieniami umów, w tym z ewentualnie udostępnionym zestawieniem umów zawartych przez MPEC. Zatem informacja, o którą wnioskowaliśmy nie będzie wykorzystana jedynie do celów </w:t>
      </w:r>
      <w:r w:rsidR="00FC7C6F" w:rsidRPr="008C2DA8">
        <w:rPr>
          <w:rFonts w:cs="Times New Roman"/>
        </w:rPr>
        <w:t>wewnętrznych stowarzyszenia, lecz będzie stanowić walor edukacyjny oraz umożliwi wielu mieszkańcom sprawdzenie sposobu gospodarowania mieniem publicz</w:t>
      </w:r>
      <w:r w:rsidR="00174B1E" w:rsidRPr="008C2DA8">
        <w:rPr>
          <w:rFonts w:cs="Times New Roman"/>
        </w:rPr>
        <w:t xml:space="preserve">nym przez MPEC. Co więcej, </w:t>
      </w:r>
      <w:r w:rsidR="00335872" w:rsidRPr="008C2DA8">
        <w:rPr>
          <w:rFonts w:cs="Times New Roman"/>
        </w:rPr>
        <w:t xml:space="preserve">z tych samych powodów </w:t>
      </w:r>
      <w:r w:rsidR="00174B1E" w:rsidRPr="008C2DA8">
        <w:rPr>
          <w:rFonts w:cs="Times New Roman"/>
        </w:rPr>
        <w:t>istnienie zestawienia umów pozwoli także na usprawnienie pracy samego MPEC</w:t>
      </w:r>
      <w:r w:rsidR="00335872" w:rsidRPr="008C2DA8">
        <w:rPr>
          <w:rFonts w:cs="Times New Roman"/>
        </w:rPr>
        <w:t xml:space="preserve"> i jego kadry zarządczej</w:t>
      </w:r>
      <w:r w:rsidR="00174B1E" w:rsidRPr="008C2DA8">
        <w:rPr>
          <w:rFonts w:cs="Times New Roman"/>
        </w:rPr>
        <w:t xml:space="preserve">. </w:t>
      </w:r>
      <w:r w:rsidR="00FC7C6F" w:rsidRPr="008C2DA8">
        <w:rPr>
          <w:rFonts w:cs="Times New Roman"/>
        </w:rPr>
        <w:t xml:space="preserve">Mając powyższe na uwadze, jesteśmy przekonani, że w niniejszej sprawie istnieje szczególnie istotny interes publiczny, który uzasadniałby udostępnienie informacji, o </w:t>
      </w:r>
      <w:r w:rsidR="00B87807" w:rsidRPr="008C2DA8">
        <w:rPr>
          <w:rFonts w:cs="Times New Roman"/>
        </w:rPr>
        <w:t>którą wnioskujemy.</w:t>
      </w:r>
    </w:p>
    <w:p w:rsidR="00FC7C6F" w:rsidRPr="008C2DA8" w:rsidRDefault="00FC7C6F" w:rsidP="008C2DA8">
      <w:pPr>
        <w:spacing w:after="0" w:line="360" w:lineRule="auto"/>
        <w:ind w:firstLine="708"/>
        <w:jc w:val="both"/>
        <w:rPr>
          <w:rFonts w:cs="Times New Roman"/>
        </w:rPr>
      </w:pPr>
      <w:r w:rsidRPr="008C2DA8">
        <w:rPr>
          <w:rFonts w:cs="Times New Roman"/>
        </w:rPr>
        <w:t xml:space="preserve">Odnosząc się do Państwa wyjaśnień dotyczących braku rejestru „umów </w:t>
      </w:r>
      <w:proofErr w:type="spellStart"/>
      <w:r w:rsidRPr="008C2DA8">
        <w:rPr>
          <w:rFonts w:cs="Times New Roman"/>
        </w:rPr>
        <w:t>niepisemnych</w:t>
      </w:r>
      <w:proofErr w:type="spellEnd"/>
      <w:r w:rsidRPr="008C2DA8">
        <w:rPr>
          <w:rFonts w:cs="Times New Roman"/>
        </w:rPr>
        <w:t xml:space="preserve">”, informujemy, że wnioskując o uwzględnienie w zestawieniu przypadków, w których nie zawarto standardowych umów pisemnych, </w:t>
      </w:r>
      <w:r w:rsidR="00A07FE9" w:rsidRPr="008C2DA8">
        <w:rPr>
          <w:rFonts w:cs="Times New Roman"/>
        </w:rPr>
        <w:t>mamy</w:t>
      </w:r>
      <w:r w:rsidRPr="008C2DA8">
        <w:rPr>
          <w:rFonts w:cs="Times New Roman"/>
        </w:rPr>
        <w:t xml:space="preserve"> na myśli sytuacje, w których zawarcie umowy potwierdzają dokumenty takie jak</w:t>
      </w:r>
      <w:r w:rsidR="00B87807" w:rsidRPr="008C2DA8">
        <w:rPr>
          <w:rFonts w:cs="Times New Roman"/>
        </w:rPr>
        <w:t xml:space="preserve"> np.</w:t>
      </w:r>
      <w:r w:rsidRPr="008C2DA8">
        <w:rPr>
          <w:rFonts w:cs="Times New Roman"/>
        </w:rPr>
        <w:t xml:space="preserve"> faktura. W powszechnej świadomości </w:t>
      </w:r>
      <w:r w:rsidR="00A07FE9" w:rsidRPr="008C2DA8">
        <w:rPr>
          <w:rFonts w:cs="Times New Roman"/>
        </w:rPr>
        <w:t>panuje przekonanie</w:t>
      </w:r>
      <w:r w:rsidRPr="008C2DA8">
        <w:rPr>
          <w:rFonts w:cs="Times New Roman"/>
        </w:rPr>
        <w:t xml:space="preserve">, iż do zawarcia umowy dochodzi jedynie </w:t>
      </w:r>
      <w:r w:rsidR="004708B5">
        <w:rPr>
          <w:rFonts w:cs="Times New Roman"/>
        </w:rPr>
        <w:t>w razie sporządzenia przez strony umowy zawierającej</w:t>
      </w:r>
      <w:r w:rsidRPr="008C2DA8">
        <w:rPr>
          <w:rFonts w:cs="Times New Roman"/>
        </w:rPr>
        <w:t xml:space="preserve"> wyraźne oznaczenie stron, postanowienia dotyczące wzajemnej odpowiedzialności itp. Dlatego też, aby uniknąć wątpliwości, we wniosku zawarliśmy odpowiednie wyjaśnienia, tak aby </w:t>
      </w:r>
      <w:r w:rsidR="00A07FE9" w:rsidRPr="008C2DA8">
        <w:rPr>
          <w:rFonts w:cs="Times New Roman"/>
        </w:rPr>
        <w:t>zestawienie zawierało</w:t>
      </w:r>
      <w:r w:rsidRPr="008C2DA8">
        <w:rPr>
          <w:rFonts w:cs="Times New Roman"/>
        </w:rPr>
        <w:t xml:space="preserve"> dane dotyczące wszystkich umów</w:t>
      </w:r>
      <w:r w:rsidR="00057248" w:rsidRPr="008C2DA8">
        <w:rPr>
          <w:rFonts w:cs="Times New Roman"/>
        </w:rPr>
        <w:t>, bez względu na to, jakiego rodzaju dokument potwierdza ich zawarcie.</w:t>
      </w:r>
      <w:r w:rsidR="00335872" w:rsidRPr="008C2DA8">
        <w:rPr>
          <w:rFonts w:cs="Times New Roman"/>
        </w:rPr>
        <w:t xml:space="preserve"> </w:t>
      </w:r>
    </w:p>
    <w:p w:rsidR="008C2DA8" w:rsidRDefault="00057248" w:rsidP="00747E77">
      <w:pPr>
        <w:spacing w:line="360" w:lineRule="auto"/>
        <w:jc w:val="both"/>
        <w:rPr>
          <w:rFonts w:cs="Times New Roman"/>
        </w:rPr>
      </w:pPr>
      <w:r w:rsidRPr="008C2DA8">
        <w:rPr>
          <w:rFonts w:cs="Times New Roman"/>
        </w:rPr>
        <w:tab/>
      </w:r>
    </w:p>
    <w:p w:rsidR="008C2DA8" w:rsidRDefault="008C2DA8" w:rsidP="008C2DA8">
      <w:pPr>
        <w:spacing w:after="0" w:line="360" w:lineRule="auto"/>
        <w:ind w:left="3540" w:firstLine="708"/>
        <w:jc w:val="center"/>
        <w:rPr>
          <w:rFonts w:cs="Times New Roman"/>
        </w:rPr>
      </w:pPr>
      <w:r>
        <w:rPr>
          <w:rFonts w:cs="Times New Roman"/>
        </w:rPr>
        <w:t>Z poważaniem</w:t>
      </w:r>
    </w:p>
    <w:p w:rsidR="008C2DA8" w:rsidRDefault="008C2DA8" w:rsidP="008C2DA8">
      <w:pPr>
        <w:spacing w:after="0" w:line="360" w:lineRule="auto"/>
        <w:ind w:left="3540" w:firstLine="708"/>
        <w:jc w:val="center"/>
        <w:rPr>
          <w:rFonts w:cs="Times New Roman"/>
        </w:rPr>
      </w:pPr>
      <w:r>
        <w:rPr>
          <w:rFonts w:cs="Times New Roman"/>
        </w:rPr>
        <w:t>Wiceprezes Forum Rozwoju Olsztyna</w:t>
      </w:r>
    </w:p>
    <w:p w:rsidR="004748B9" w:rsidRPr="008C2DA8" w:rsidRDefault="008C2DA8" w:rsidP="008C2DA8">
      <w:pPr>
        <w:spacing w:after="0" w:line="360" w:lineRule="auto"/>
        <w:ind w:left="4248"/>
        <w:jc w:val="center"/>
        <w:rPr>
          <w:rFonts w:cs="Times New Roman"/>
        </w:rPr>
      </w:pPr>
      <w:r>
        <w:rPr>
          <w:rFonts w:cs="Times New Roman"/>
        </w:rPr>
        <w:t xml:space="preserve">    Krzysztof </w:t>
      </w:r>
      <w:proofErr w:type="spellStart"/>
      <w:r>
        <w:rPr>
          <w:rFonts w:cs="Times New Roman"/>
        </w:rPr>
        <w:t>Suchowiecki</w:t>
      </w:r>
      <w:proofErr w:type="spellEnd"/>
    </w:p>
    <w:sectPr w:rsidR="004748B9" w:rsidRPr="008C2DA8" w:rsidSect="00B729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8B5" w:rsidRDefault="004218B5" w:rsidP="009012F7">
      <w:pPr>
        <w:spacing w:after="0" w:line="240" w:lineRule="auto"/>
      </w:pPr>
      <w:r>
        <w:separator/>
      </w:r>
    </w:p>
  </w:endnote>
  <w:endnote w:type="continuationSeparator" w:id="0">
    <w:p w:rsidR="004218B5" w:rsidRDefault="004218B5" w:rsidP="009012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8B5" w:rsidRDefault="004218B5" w:rsidP="009012F7">
      <w:pPr>
        <w:spacing w:after="0" w:line="240" w:lineRule="auto"/>
      </w:pPr>
      <w:r>
        <w:separator/>
      </w:r>
    </w:p>
  </w:footnote>
  <w:footnote w:type="continuationSeparator" w:id="0">
    <w:p w:rsidR="004218B5" w:rsidRDefault="004218B5" w:rsidP="009012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2F7" w:rsidRDefault="009012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2A2"/>
    <w:multiLevelType w:val="hybridMultilevel"/>
    <w:tmpl w:val="18864612"/>
    <w:lvl w:ilvl="0" w:tplc="7F543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2D2926"/>
    <w:multiLevelType w:val="hybridMultilevel"/>
    <w:tmpl w:val="90E413B0"/>
    <w:lvl w:ilvl="0" w:tplc="7F543CE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7776BF"/>
    <w:multiLevelType w:val="hybridMultilevel"/>
    <w:tmpl w:val="7F1851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3672898"/>
    <w:multiLevelType w:val="hybridMultilevel"/>
    <w:tmpl w:val="1ED657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4A6028F"/>
    <w:multiLevelType w:val="hybridMultilevel"/>
    <w:tmpl w:val="8AFC6E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6752F39"/>
    <w:multiLevelType w:val="hybridMultilevel"/>
    <w:tmpl w:val="E264B0B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useFELayout/>
  </w:compat>
  <w:rsids>
    <w:rsidRoot w:val="0002194F"/>
    <w:rsid w:val="0002194F"/>
    <w:rsid w:val="00056ABC"/>
    <w:rsid w:val="00057248"/>
    <w:rsid w:val="0006167B"/>
    <w:rsid w:val="000D5B5E"/>
    <w:rsid w:val="00105859"/>
    <w:rsid w:val="00117A48"/>
    <w:rsid w:val="00174B1E"/>
    <w:rsid w:val="001B6F2A"/>
    <w:rsid w:val="001C3E7A"/>
    <w:rsid w:val="001D6EA2"/>
    <w:rsid w:val="00215D28"/>
    <w:rsid w:val="00235728"/>
    <w:rsid w:val="002542F3"/>
    <w:rsid w:val="00265841"/>
    <w:rsid w:val="00281881"/>
    <w:rsid w:val="002D7301"/>
    <w:rsid w:val="00333C46"/>
    <w:rsid w:val="00335872"/>
    <w:rsid w:val="00335B32"/>
    <w:rsid w:val="00373B1F"/>
    <w:rsid w:val="003972C2"/>
    <w:rsid w:val="003C3590"/>
    <w:rsid w:val="003D4271"/>
    <w:rsid w:val="003D5FA3"/>
    <w:rsid w:val="004218B5"/>
    <w:rsid w:val="004708B5"/>
    <w:rsid w:val="004748B9"/>
    <w:rsid w:val="004916A4"/>
    <w:rsid w:val="00547FE9"/>
    <w:rsid w:val="00563EB4"/>
    <w:rsid w:val="00586FEF"/>
    <w:rsid w:val="0059333A"/>
    <w:rsid w:val="005B4B14"/>
    <w:rsid w:val="005B7B6A"/>
    <w:rsid w:val="006301A8"/>
    <w:rsid w:val="00640D22"/>
    <w:rsid w:val="00654029"/>
    <w:rsid w:val="0070703D"/>
    <w:rsid w:val="0071265C"/>
    <w:rsid w:val="0072251B"/>
    <w:rsid w:val="00747E77"/>
    <w:rsid w:val="00796109"/>
    <w:rsid w:val="007F051B"/>
    <w:rsid w:val="0086764B"/>
    <w:rsid w:val="008C2DA8"/>
    <w:rsid w:val="009012F7"/>
    <w:rsid w:val="00931F58"/>
    <w:rsid w:val="00933BF9"/>
    <w:rsid w:val="0099562C"/>
    <w:rsid w:val="009C4380"/>
    <w:rsid w:val="00A07FE9"/>
    <w:rsid w:val="00A60157"/>
    <w:rsid w:val="00AA0904"/>
    <w:rsid w:val="00AB4772"/>
    <w:rsid w:val="00AD51DB"/>
    <w:rsid w:val="00B07EC4"/>
    <w:rsid w:val="00B7296E"/>
    <w:rsid w:val="00B77731"/>
    <w:rsid w:val="00B87804"/>
    <w:rsid w:val="00B87807"/>
    <w:rsid w:val="00BC255E"/>
    <w:rsid w:val="00BC53E1"/>
    <w:rsid w:val="00D53394"/>
    <w:rsid w:val="00E36C1B"/>
    <w:rsid w:val="00F60BA6"/>
    <w:rsid w:val="00FA05BE"/>
    <w:rsid w:val="00FC7C6F"/>
    <w:rsid w:val="00FD289F"/>
    <w:rsid w:val="00FD40D4"/>
    <w:rsid w:val="00FF35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EA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194F"/>
    <w:rPr>
      <w:color w:val="0000FF"/>
      <w:u w:val="single"/>
    </w:rPr>
  </w:style>
  <w:style w:type="paragraph" w:styleId="Akapitzlist">
    <w:name w:val="List Paragraph"/>
    <w:basedOn w:val="Normalny"/>
    <w:uiPriority w:val="34"/>
    <w:qFormat/>
    <w:rsid w:val="0002194F"/>
    <w:pPr>
      <w:ind w:left="720"/>
    </w:pPr>
    <w:rPr>
      <w:rFonts w:ascii="Calibri" w:hAnsi="Calibri" w:cs="Times New Roman"/>
    </w:rPr>
  </w:style>
  <w:style w:type="paragraph" w:styleId="Tekstprzypisudolnego">
    <w:name w:val="footnote text"/>
    <w:basedOn w:val="Normalny"/>
    <w:link w:val="TekstprzypisudolnegoZnak"/>
    <w:uiPriority w:val="99"/>
    <w:unhideWhenUsed/>
    <w:rsid w:val="000219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2194F"/>
    <w:rPr>
      <w:sz w:val="20"/>
      <w:szCs w:val="20"/>
    </w:rPr>
  </w:style>
  <w:style w:type="paragraph" w:styleId="Bezodstpw">
    <w:name w:val="No Spacing"/>
    <w:uiPriority w:val="1"/>
    <w:qFormat/>
    <w:rsid w:val="004916A4"/>
    <w:pPr>
      <w:spacing w:after="0" w:line="240" w:lineRule="auto"/>
    </w:pPr>
  </w:style>
  <w:style w:type="paragraph" w:styleId="Nagwek">
    <w:name w:val="header"/>
    <w:basedOn w:val="Normalny"/>
    <w:link w:val="NagwekZnak"/>
    <w:uiPriority w:val="99"/>
    <w:unhideWhenUsed/>
    <w:rsid w:val="00901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2F7"/>
  </w:style>
  <w:style w:type="paragraph" w:styleId="Stopka">
    <w:name w:val="footer"/>
    <w:basedOn w:val="Normalny"/>
    <w:link w:val="StopkaZnak"/>
    <w:uiPriority w:val="99"/>
    <w:unhideWhenUsed/>
    <w:rsid w:val="00901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2F7"/>
  </w:style>
  <w:style w:type="character" w:customStyle="1" w:styleId="highlight1">
    <w:name w:val="highlight1"/>
    <w:rsid w:val="00AD51DB"/>
    <w:rPr>
      <w:b/>
      <w:bCs/>
    </w:rPr>
  </w:style>
  <w:style w:type="paragraph" w:customStyle="1" w:styleId="Default">
    <w:name w:val="Default"/>
    <w:rsid w:val="008C2DA8"/>
    <w:pPr>
      <w:widowControl w:val="0"/>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M30">
    <w:name w:val="CM30"/>
    <w:basedOn w:val="Default"/>
    <w:next w:val="Default"/>
    <w:rsid w:val="008C2DA8"/>
    <w:pPr>
      <w:spacing w:after="253"/>
    </w:pPr>
    <w:rPr>
      <w:color w:val="auto"/>
      <w:sz w:val="20"/>
      <w:szCs w:val="20"/>
    </w:rPr>
  </w:style>
  <w:style w:type="paragraph" w:customStyle="1" w:styleId="CM20">
    <w:name w:val="CM20"/>
    <w:basedOn w:val="Default"/>
    <w:next w:val="Default"/>
    <w:rsid w:val="008C2DA8"/>
    <w:pPr>
      <w:spacing w:line="253" w:lineRule="atLeast"/>
    </w:pPr>
    <w:rPr>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2194F"/>
    <w:rPr>
      <w:color w:val="0000FF"/>
      <w:u w:val="single"/>
    </w:rPr>
  </w:style>
  <w:style w:type="paragraph" w:styleId="Akapitzlist">
    <w:name w:val="List Paragraph"/>
    <w:basedOn w:val="Normalny"/>
    <w:uiPriority w:val="34"/>
    <w:qFormat/>
    <w:rsid w:val="0002194F"/>
    <w:pPr>
      <w:ind w:left="720"/>
    </w:pPr>
    <w:rPr>
      <w:rFonts w:ascii="Calibri" w:hAnsi="Calibri" w:cs="Times New Roman"/>
    </w:rPr>
  </w:style>
  <w:style w:type="paragraph" w:styleId="Tekstprzypisudolnego">
    <w:name w:val="footnote text"/>
    <w:basedOn w:val="Normalny"/>
    <w:link w:val="TekstprzypisudolnegoZnak"/>
    <w:uiPriority w:val="99"/>
    <w:unhideWhenUsed/>
    <w:rsid w:val="0002194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2194F"/>
    <w:rPr>
      <w:sz w:val="20"/>
      <w:szCs w:val="20"/>
    </w:rPr>
  </w:style>
  <w:style w:type="paragraph" w:styleId="Bezodstpw">
    <w:name w:val="No Spacing"/>
    <w:uiPriority w:val="1"/>
    <w:qFormat/>
    <w:rsid w:val="004916A4"/>
    <w:pPr>
      <w:spacing w:after="0" w:line="240" w:lineRule="auto"/>
    </w:pPr>
  </w:style>
  <w:style w:type="paragraph" w:styleId="Nagwek">
    <w:name w:val="header"/>
    <w:basedOn w:val="Normalny"/>
    <w:link w:val="NagwekZnak"/>
    <w:uiPriority w:val="99"/>
    <w:unhideWhenUsed/>
    <w:rsid w:val="009012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12F7"/>
  </w:style>
  <w:style w:type="paragraph" w:styleId="Stopka">
    <w:name w:val="footer"/>
    <w:basedOn w:val="Normalny"/>
    <w:link w:val="StopkaZnak"/>
    <w:uiPriority w:val="99"/>
    <w:unhideWhenUsed/>
    <w:rsid w:val="009012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12F7"/>
  </w:style>
  <w:style w:type="character" w:customStyle="1" w:styleId="highlight1">
    <w:name w:val="highlight1"/>
    <w:rsid w:val="00AD51D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6820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2016-04-06T15:10:00Z</dcterms:created>
  <dcterms:modified xsi:type="dcterms:W3CDTF">2016-04-07T09:00:00Z</dcterms:modified>
</cp:coreProperties>
</file>